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3B45E" w14:textId="77777777" w:rsidR="00535E7D" w:rsidRPr="005E5824" w:rsidRDefault="00535E7D" w:rsidP="002B20A0">
      <w:pPr>
        <w:pStyle w:val="NormalWeb"/>
        <w:spacing w:line="276" w:lineRule="auto"/>
        <w:rPr>
          <w:rFonts w:ascii="Source Sans Pro" w:hAnsi="Source Sans Pro"/>
        </w:rPr>
      </w:pPr>
      <w:r w:rsidRPr="002B20A0">
        <w:rPr>
          <w:rStyle w:val="Gl"/>
          <w:rFonts w:ascii="Source Sans Pro" w:hAnsi="Source Sans Pro"/>
          <w:sz w:val="36"/>
          <w:szCs w:val="36"/>
        </w:rPr>
        <w:t>EMPATİYLE ÖĞREN PROGRAMI</w:t>
      </w:r>
      <w:r w:rsidRPr="002B20A0">
        <w:rPr>
          <w:rFonts w:ascii="Source Sans Pro" w:hAnsi="Source Sans Pro"/>
          <w:sz w:val="36"/>
          <w:szCs w:val="36"/>
        </w:rPr>
        <w:br/>
      </w:r>
      <w:r w:rsidRPr="002B20A0">
        <w:rPr>
          <w:rStyle w:val="Gl"/>
          <w:rFonts w:ascii="Source Sans Pro" w:hAnsi="Source Sans Pro"/>
          <w:sz w:val="32"/>
          <w:szCs w:val="32"/>
        </w:rPr>
        <w:t>II. DÖNEM (2016–2026) SOSYAL ETKİ RAPORU</w:t>
      </w:r>
      <w:r w:rsidRPr="005E5824">
        <w:rPr>
          <w:rFonts w:ascii="Source Sans Pro" w:hAnsi="Source Sans Pro"/>
        </w:rPr>
        <w:br/>
      </w:r>
      <w:r w:rsidRPr="002B20A0">
        <w:rPr>
          <w:rStyle w:val="Gl"/>
          <w:rFonts w:ascii="Source Sans Pro" w:hAnsi="Source Sans Pro"/>
          <w:sz w:val="28"/>
          <w:szCs w:val="28"/>
        </w:rPr>
        <w:t>Gelişim, Yaygınlaşma ve Kurumsallaşma Dönemi</w:t>
      </w:r>
    </w:p>
    <w:p w14:paraId="617DE635" w14:textId="77777777" w:rsidR="005E5824" w:rsidRPr="002B20A0" w:rsidRDefault="005E5824" w:rsidP="005E5824">
      <w:pPr>
        <w:spacing w:before="100" w:beforeAutospacing="1" w:after="100" w:afterAutospacing="1" w:line="240" w:lineRule="auto"/>
        <w:rPr>
          <w:rFonts w:ascii="Source Sans Pro" w:eastAsia="Times New Roman" w:hAnsi="Source Sans Pro" w:cs="Times New Roman"/>
          <w:b/>
          <w:bCs/>
          <w:kern w:val="0"/>
          <w:sz w:val="28"/>
          <w:szCs w:val="28"/>
          <w:lang w:eastAsia="tr-TR"/>
          <w14:ligatures w14:val="none"/>
        </w:rPr>
      </w:pPr>
      <w:r w:rsidRPr="002B20A0">
        <w:rPr>
          <w:rFonts w:ascii="Source Sans Pro" w:eastAsia="Times New Roman" w:hAnsi="Source Sans Pro" w:cs="Times New Roman"/>
          <w:b/>
          <w:bCs/>
          <w:kern w:val="0"/>
          <w:sz w:val="28"/>
          <w:szCs w:val="28"/>
          <w:lang w:eastAsia="tr-TR"/>
          <w14:ligatures w14:val="none"/>
        </w:rPr>
        <w:t>İÇİNDEKİLER</w:t>
      </w:r>
    </w:p>
    <w:p w14:paraId="35F56CF3" w14:textId="77777777" w:rsidR="005E5824" w:rsidRPr="002B20A0" w:rsidRDefault="005E5824" w:rsidP="005E5824">
      <w:pPr>
        <w:spacing w:before="100" w:beforeAutospacing="1" w:after="100" w:afterAutospacing="1" w:line="240" w:lineRule="auto"/>
        <w:rPr>
          <w:rFonts w:ascii="Source Sans Pro" w:eastAsia="Times New Roman" w:hAnsi="Source Sans Pro" w:cs="Times New Roman"/>
          <w:b/>
          <w:bCs/>
          <w:kern w:val="0"/>
          <w:sz w:val="28"/>
          <w:szCs w:val="28"/>
          <w:lang w:eastAsia="tr-TR"/>
          <w14:ligatures w14:val="none"/>
        </w:rPr>
      </w:pPr>
      <w:r w:rsidRPr="002B20A0">
        <w:rPr>
          <w:rFonts w:ascii="Source Sans Pro" w:eastAsia="Times New Roman" w:hAnsi="Source Sans Pro" w:cs="Times New Roman"/>
          <w:b/>
          <w:bCs/>
          <w:kern w:val="0"/>
          <w:sz w:val="28"/>
          <w:szCs w:val="28"/>
          <w:lang w:eastAsia="tr-TR"/>
          <w14:ligatures w14:val="none"/>
        </w:rPr>
        <w:t>Özet</w:t>
      </w:r>
    </w:p>
    <w:p w14:paraId="23617D1F" w14:textId="77777777" w:rsidR="005E5824" w:rsidRPr="002B20A0" w:rsidRDefault="005E5824" w:rsidP="002B20A0">
      <w:pPr>
        <w:numPr>
          <w:ilvl w:val="0"/>
          <w:numId w:val="30"/>
        </w:numPr>
        <w:spacing w:before="100" w:beforeAutospacing="1" w:after="100" w:afterAutospacing="1" w:line="276" w:lineRule="auto"/>
        <w:rPr>
          <w:rFonts w:ascii="Source Sans Pro" w:eastAsia="Times New Roman" w:hAnsi="Source Sans Pro" w:cs="Times New Roman"/>
          <w:b/>
          <w:bCs/>
          <w:kern w:val="0"/>
          <w:lang w:eastAsia="tr-TR"/>
          <w14:ligatures w14:val="none"/>
        </w:rPr>
      </w:pPr>
      <w:r w:rsidRPr="002B20A0">
        <w:rPr>
          <w:rFonts w:ascii="Source Sans Pro" w:eastAsia="Times New Roman" w:hAnsi="Source Sans Pro" w:cs="Times New Roman"/>
          <w:b/>
          <w:bCs/>
          <w:kern w:val="0"/>
          <w:lang w:eastAsia="tr-TR"/>
          <w14:ligatures w14:val="none"/>
        </w:rPr>
        <w:t>Raporun Amacı ve Kapsamı</w:t>
      </w:r>
    </w:p>
    <w:p w14:paraId="6E09D5BE" w14:textId="77777777" w:rsidR="005E5824" w:rsidRPr="005E5824" w:rsidRDefault="005E5824" w:rsidP="002B20A0">
      <w:pPr>
        <w:numPr>
          <w:ilvl w:val="0"/>
          <w:numId w:val="30"/>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2B20A0">
        <w:rPr>
          <w:rFonts w:ascii="Source Sans Pro" w:eastAsia="Times New Roman" w:hAnsi="Source Sans Pro" w:cs="Times New Roman"/>
          <w:b/>
          <w:bCs/>
          <w:kern w:val="0"/>
          <w:lang w:eastAsia="tr-TR"/>
          <w14:ligatures w14:val="none"/>
        </w:rPr>
        <w:t>Programın Gelişimi ve İkinci Döneme Geçiş</w:t>
      </w:r>
      <w:r w:rsidRPr="005E5824">
        <w:rPr>
          <w:rFonts w:ascii="Source Sans Pro" w:eastAsia="Times New Roman" w:hAnsi="Source Sans Pro" w:cs="Times New Roman"/>
          <w:kern w:val="0"/>
          <w:lang w:eastAsia="tr-TR"/>
          <w14:ligatures w14:val="none"/>
        </w:rPr>
        <w:br/>
        <w:t>2.1. İlk Dönemden İkinci Döneme Geçiş</w:t>
      </w:r>
      <w:r w:rsidRPr="005E5824">
        <w:rPr>
          <w:rFonts w:ascii="Source Sans Pro" w:eastAsia="Times New Roman" w:hAnsi="Source Sans Pro" w:cs="Times New Roman"/>
          <w:kern w:val="0"/>
          <w:lang w:eastAsia="tr-TR"/>
          <w14:ligatures w14:val="none"/>
        </w:rPr>
        <w:br/>
        <w:t>2.2. Değişen Toplumsal Koşullar ve Süregelen İhtiyaçlar</w:t>
      </w:r>
      <w:r w:rsidRPr="005E5824">
        <w:rPr>
          <w:rFonts w:ascii="Source Sans Pro" w:eastAsia="Times New Roman" w:hAnsi="Source Sans Pro" w:cs="Times New Roman"/>
          <w:kern w:val="0"/>
          <w:lang w:eastAsia="tr-TR"/>
          <w14:ligatures w14:val="none"/>
        </w:rPr>
        <w:br/>
        <w:t>2.3. Programın Genişleme Süreci (2016–2020)</w:t>
      </w:r>
      <w:r w:rsidRPr="005E5824">
        <w:rPr>
          <w:rFonts w:ascii="Source Sans Pro" w:eastAsia="Times New Roman" w:hAnsi="Source Sans Pro" w:cs="Times New Roman"/>
          <w:kern w:val="0"/>
          <w:lang w:eastAsia="tr-TR"/>
          <w14:ligatures w14:val="none"/>
        </w:rPr>
        <w:br/>
        <w:t>2.4. Pandemi Dönemi ve Faaliyetlere Ara Verilmesi (2020–2023)</w:t>
      </w:r>
      <w:r w:rsidRPr="005E5824">
        <w:rPr>
          <w:rFonts w:ascii="Source Sans Pro" w:eastAsia="Times New Roman" w:hAnsi="Source Sans Pro" w:cs="Times New Roman"/>
          <w:kern w:val="0"/>
          <w:lang w:eastAsia="tr-TR"/>
          <w14:ligatures w14:val="none"/>
        </w:rPr>
        <w:br/>
        <w:t>2.5. Yeniden Başlangıç ve Yeni İş Birlikleri (2023–2026)</w:t>
      </w:r>
    </w:p>
    <w:p w14:paraId="0A59BECE" w14:textId="77777777" w:rsidR="005E5824" w:rsidRPr="005E5824" w:rsidRDefault="005E5824" w:rsidP="002B20A0">
      <w:pPr>
        <w:numPr>
          <w:ilvl w:val="0"/>
          <w:numId w:val="30"/>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2B20A0">
        <w:rPr>
          <w:rFonts w:ascii="Source Sans Pro" w:eastAsia="Times New Roman" w:hAnsi="Source Sans Pro" w:cs="Times New Roman"/>
          <w:b/>
          <w:bCs/>
          <w:kern w:val="0"/>
          <w:lang w:eastAsia="tr-TR"/>
          <w14:ligatures w14:val="none"/>
        </w:rPr>
        <w:t>Programın Yapısı ve Uygulama Yöntemi</w:t>
      </w:r>
      <w:r w:rsidRPr="005E5824">
        <w:rPr>
          <w:rFonts w:ascii="Source Sans Pro" w:eastAsia="Times New Roman" w:hAnsi="Source Sans Pro" w:cs="Times New Roman"/>
          <w:kern w:val="0"/>
          <w:lang w:eastAsia="tr-TR"/>
          <w14:ligatures w14:val="none"/>
        </w:rPr>
        <w:br/>
        <w:t>3.1. Eğitim Yaklaşımı</w:t>
      </w:r>
      <w:r w:rsidRPr="005E5824">
        <w:rPr>
          <w:rFonts w:ascii="Source Sans Pro" w:eastAsia="Times New Roman" w:hAnsi="Source Sans Pro" w:cs="Times New Roman"/>
          <w:kern w:val="0"/>
          <w:lang w:eastAsia="tr-TR"/>
          <w14:ligatures w14:val="none"/>
        </w:rPr>
        <w:br/>
        <w:t>3.2. Eğitim İçeriği ve Uygulama Süreci</w:t>
      </w:r>
      <w:r w:rsidRPr="005E5824">
        <w:rPr>
          <w:rFonts w:ascii="Source Sans Pro" w:eastAsia="Times New Roman" w:hAnsi="Source Sans Pro" w:cs="Times New Roman"/>
          <w:kern w:val="0"/>
          <w:lang w:eastAsia="tr-TR"/>
          <w14:ligatures w14:val="none"/>
        </w:rPr>
        <w:br/>
        <w:t>3.3. Eğitim Materyalleri</w:t>
      </w:r>
      <w:r w:rsidRPr="005E5824">
        <w:rPr>
          <w:rFonts w:ascii="Source Sans Pro" w:eastAsia="Times New Roman" w:hAnsi="Source Sans Pro" w:cs="Times New Roman"/>
          <w:kern w:val="0"/>
          <w:lang w:eastAsia="tr-TR"/>
          <w14:ligatures w14:val="none"/>
        </w:rPr>
        <w:br/>
        <w:t>3.4. Uygulama İlkeleri ve Güvenli Katılım</w:t>
      </w:r>
    </w:p>
    <w:p w14:paraId="2FF9A427" w14:textId="77777777" w:rsidR="005E5824" w:rsidRPr="005E5824" w:rsidRDefault="005E5824" w:rsidP="002B20A0">
      <w:pPr>
        <w:numPr>
          <w:ilvl w:val="0"/>
          <w:numId w:val="30"/>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2B20A0">
        <w:rPr>
          <w:rFonts w:ascii="Source Sans Pro" w:eastAsia="Times New Roman" w:hAnsi="Source Sans Pro" w:cs="Times New Roman"/>
          <w:b/>
          <w:bCs/>
          <w:kern w:val="0"/>
          <w:lang w:eastAsia="tr-TR"/>
          <w14:ligatures w14:val="none"/>
        </w:rPr>
        <w:t>Etki Analizi ve Bulgular</w:t>
      </w:r>
      <w:r w:rsidRPr="002B20A0">
        <w:rPr>
          <w:rFonts w:ascii="Source Sans Pro" w:eastAsia="Times New Roman" w:hAnsi="Source Sans Pro" w:cs="Times New Roman"/>
          <w:b/>
          <w:bCs/>
          <w:kern w:val="0"/>
          <w:lang w:eastAsia="tr-TR"/>
          <w14:ligatures w14:val="none"/>
        </w:rPr>
        <w:br/>
      </w:r>
      <w:r w:rsidRPr="005E5824">
        <w:rPr>
          <w:rFonts w:ascii="Source Sans Pro" w:eastAsia="Times New Roman" w:hAnsi="Source Sans Pro" w:cs="Times New Roman"/>
          <w:kern w:val="0"/>
          <w:lang w:eastAsia="tr-TR"/>
          <w14:ligatures w14:val="none"/>
        </w:rPr>
        <w:t>4.1. Ulaşılan Çocuklar ve Uygulama Sonuçları</w:t>
      </w:r>
      <w:r w:rsidRPr="005E5824">
        <w:rPr>
          <w:rFonts w:ascii="Source Sans Pro" w:eastAsia="Times New Roman" w:hAnsi="Source Sans Pro" w:cs="Times New Roman"/>
          <w:kern w:val="0"/>
          <w:lang w:eastAsia="tr-TR"/>
          <w14:ligatures w14:val="none"/>
        </w:rPr>
        <w:br/>
        <w:t>4.2. Öğrenciler Üzerindeki Gözlemlenen Etkiler</w:t>
      </w:r>
      <w:r w:rsidRPr="005E5824">
        <w:rPr>
          <w:rFonts w:ascii="Source Sans Pro" w:eastAsia="Times New Roman" w:hAnsi="Source Sans Pro" w:cs="Times New Roman"/>
          <w:kern w:val="0"/>
          <w:lang w:eastAsia="tr-TR"/>
          <w14:ligatures w14:val="none"/>
        </w:rPr>
        <w:br/>
        <w:t>4.3. Öğretmen ve Aile Geri Bildirimleri</w:t>
      </w:r>
      <w:r w:rsidRPr="005E5824">
        <w:rPr>
          <w:rFonts w:ascii="Source Sans Pro" w:eastAsia="Times New Roman" w:hAnsi="Source Sans Pro" w:cs="Times New Roman"/>
          <w:kern w:val="0"/>
          <w:lang w:eastAsia="tr-TR"/>
          <w14:ligatures w14:val="none"/>
        </w:rPr>
        <w:br/>
        <w:t>4.4. Bölgesel Yayılım ve Sosyal Etki</w:t>
      </w:r>
    </w:p>
    <w:p w14:paraId="171B324E" w14:textId="77777777" w:rsidR="005E5824" w:rsidRPr="005E5824" w:rsidRDefault="005E5824" w:rsidP="002B20A0">
      <w:pPr>
        <w:numPr>
          <w:ilvl w:val="0"/>
          <w:numId w:val="30"/>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2B20A0">
        <w:rPr>
          <w:rFonts w:ascii="Source Sans Pro" w:eastAsia="Times New Roman" w:hAnsi="Source Sans Pro" w:cs="Times New Roman"/>
          <w:b/>
          <w:bCs/>
          <w:kern w:val="0"/>
          <w:lang w:eastAsia="tr-TR"/>
          <w14:ligatures w14:val="none"/>
        </w:rPr>
        <w:t>Bilimsel Temeller ve Eğitimsel Dayanaklar</w:t>
      </w:r>
      <w:r w:rsidRPr="005E5824">
        <w:rPr>
          <w:rFonts w:ascii="Source Sans Pro" w:eastAsia="Times New Roman" w:hAnsi="Source Sans Pro" w:cs="Times New Roman"/>
          <w:kern w:val="0"/>
          <w:lang w:eastAsia="tr-TR"/>
          <w14:ligatures w14:val="none"/>
        </w:rPr>
        <w:br/>
        <w:t>5.1. Eğitim Yaklaşımının Temelleri</w:t>
      </w:r>
      <w:r w:rsidRPr="005E5824">
        <w:rPr>
          <w:rFonts w:ascii="Source Sans Pro" w:eastAsia="Times New Roman" w:hAnsi="Source Sans Pro" w:cs="Times New Roman"/>
          <w:kern w:val="0"/>
          <w:lang w:eastAsia="tr-TR"/>
          <w14:ligatures w14:val="none"/>
        </w:rPr>
        <w:br/>
        <w:t>5.2. Çocuk Gelişimi ve Sosyal-Duygusal Öğrenme Boyutu</w:t>
      </w:r>
      <w:r w:rsidRPr="005E5824">
        <w:rPr>
          <w:rFonts w:ascii="Source Sans Pro" w:eastAsia="Times New Roman" w:hAnsi="Source Sans Pro" w:cs="Times New Roman"/>
          <w:kern w:val="0"/>
          <w:lang w:eastAsia="tr-TR"/>
          <w14:ligatures w14:val="none"/>
        </w:rPr>
        <w:br/>
        <w:t>5.3. Uluslararası Yaklaşımlarla İlişkisi</w:t>
      </w:r>
      <w:r w:rsidRPr="005E5824">
        <w:rPr>
          <w:rFonts w:ascii="Source Sans Pro" w:eastAsia="Times New Roman" w:hAnsi="Source Sans Pro" w:cs="Times New Roman"/>
          <w:kern w:val="0"/>
          <w:lang w:eastAsia="tr-TR"/>
          <w14:ligatures w14:val="none"/>
        </w:rPr>
        <w:br/>
        <w:t>5.4. Uygulamalardan Elde Edilen Öğrenimler</w:t>
      </w:r>
    </w:p>
    <w:p w14:paraId="09658E6A" w14:textId="77777777" w:rsidR="005E5824" w:rsidRPr="005E5824" w:rsidRDefault="005E5824" w:rsidP="002B20A0">
      <w:pPr>
        <w:numPr>
          <w:ilvl w:val="0"/>
          <w:numId w:val="30"/>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2B20A0">
        <w:rPr>
          <w:rFonts w:ascii="Source Sans Pro" w:eastAsia="Times New Roman" w:hAnsi="Source Sans Pro" w:cs="Times New Roman"/>
          <w:b/>
          <w:bCs/>
          <w:kern w:val="0"/>
          <w:lang w:eastAsia="tr-TR"/>
          <w14:ligatures w14:val="none"/>
        </w:rPr>
        <w:t>Gelecek Perspektifi ve Gelişim Alanları</w:t>
      </w:r>
      <w:r w:rsidRPr="005E5824">
        <w:rPr>
          <w:rFonts w:ascii="Source Sans Pro" w:eastAsia="Times New Roman" w:hAnsi="Source Sans Pro" w:cs="Times New Roman"/>
          <w:kern w:val="0"/>
          <w:lang w:eastAsia="tr-TR"/>
          <w14:ligatures w14:val="none"/>
        </w:rPr>
        <w:br/>
        <w:t>6.1. Yaygınlaşma ve Erişim</w:t>
      </w:r>
      <w:r w:rsidRPr="005E5824">
        <w:rPr>
          <w:rFonts w:ascii="Source Sans Pro" w:eastAsia="Times New Roman" w:hAnsi="Source Sans Pro" w:cs="Times New Roman"/>
          <w:kern w:val="0"/>
          <w:lang w:eastAsia="tr-TR"/>
          <w14:ligatures w14:val="none"/>
        </w:rPr>
        <w:br/>
        <w:t>6.2. Eğitim İçeriklerinin Geliştirilmesi</w:t>
      </w:r>
      <w:r w:rsidRPr="005E5824">
        <w:rPr>
          <w:rFonts w:ascii="Source Sans Pro" w:eastAsia="Times New Roman" w:hAnsi="Source Sans Pro" w:cs="Times New Roman"/>
          <w:kern w:val="0"/>
          <w:lang w:eastAsia="tr-TR"/>
          <w14:ligatures w14:val="none"/>
        </w:rPr>
        <w:br/>
        <w:t>6.3. Dijital İçeriklerin Güçlendirilmesi</w:t>
      </w:r>
      <w:r w:rsidRPr="005E5824">
        <w:rPr>
          <w:rFonts w:ascii="Source Sans Pro" w:eastAsia="Times New Roman" w:hAnsi="Source Sans Pro" w:cs="Times New Roman"/>
          <w:kern w:val="0"/>
          <w:lang w:eastAsia="tr-TR"/>
          <w14:ligatures w14:val="none"/>
        </w:rPr>
        <w:br/>
        <w:t>6.4. Katılım ve İş Birlikleri</w:t>
      </w:r>
    </w:p>
    <w:p w14:paraId="18153534" w14:textId="77777777" w:rsidR="005E5824" w:rsidRPr="002B20A0" w:rsidRDefault="005E5824" w:rsidP="002B20A0">
      <w:pPr>
        <w:numPr>
          <w:ilvl w:val="0"/>
          <w:numId w:val="30"/>
        </w:numPr>
        <w:spacing w:before="100" w:beforeAutospacing="1" w:after="100" w:afterAutospacing="1" w:line="276" w:lineRule="auto"/>
        <w:rPr>
          <w:rFonts w:ascii="Source Sans Pro" w:eastAsia="Times New Roman" w:hAnsi="Source Sans Pro" w:cs="Times New Roman"/>
          <w:b/>
          <w:bCs/>
          <w:kern w:val="0"/>
          <w:lang w:eastAsia="tr-TR"/>
          <w14:ligatures w14:val="none"/>
        </w:rPr>
      </w:pPr>
      <w:r w:rsidRPr="002B20A0">
        <w:rPr>
          <w:rFonts w:ascii="Source Sans Pro" w:eastAsia="Times New Roman" w:hAnsi="Source Sans Pro" w:cs="Times New Roman"/>
          <w:b/>
          <w:bCs/>
          <w:kern w:val="0"/>
          <w:lang w:eastAsia="tr-TR"/>
          <w14:ligatures w14:val="none"/>
        </w:rPr>
        <w:t>Genel Değerlendirme ve Sonuç</w:t>
      </w:r>
    </w:p>
    <w:p w14:paraId="2B0ECCB9" w14:textId="77777777" w:rsidR="002B20A0" w:rsidRDefault="002B20A0" w:rsidP="005E5824">
      <w:pPr>
        <w:rPr>
          <w:rFonts w:ascii="Source Sans Pro" w:hAnsi="Source Sans Pro"/>
          <w:b/>
          <w:bCs/>
        </w:rPr>
      </w:pPr>
    </w:p>
    <w:p w14:paraId="6B378F4B" w14:textId="77777777" w:rsidR="002B20A0" w:rsidRDefault="002B20A0" w:rsidP="005E5824">
      <w:pPr>
        <w:rPr>
          <w:rFonts w:ascii="Source Sans Pro" w:hAnsi="Source Sans Pro"/>
          <w:b/>
          <w:bCs/>
        </w:rPr>
      </w:pPr>
    </w:p>
    <w:p w14:paraId="7EBD948D" w14:textId="71D09D83" w:rsidR="005E5824" w:rsidRPr="005E5824" w:rsidRDefault="005E5824" w:rsidP="005E5824">
      <w:pPr>
        <w:rPr>
          <w:rFonts w:ascii="Source Sans Pro" w:hAnsi="Source Sans Pro"/>
          <w:b/>
          <w:bCs/>
        </w:rPr>
      </w:pPr>
      <w:r w:rsidRPr="005E5824">
        <w:rPr>
          <w:rFonts w:ascii="Source Sans Pro" w:hAnsi="Source Sans Pro"/>
          <w:b/>
          <w:bCs/>
        </w:rPr>
        <w:lastRenderedPageBreak/>
        <w:t>ÖZET</w:t>
      </w:r>
    </w:p>
    <w:p w14:paraId="75C34FB7" w14:textId="77777777" w:rsidR="00F8750B" w:rsidRDefault="00F8750B" w:rsidP="00F8750B">
      <w:pPr>
        <w:pStyle w:val="isselectedend"/>
      </w:pPr>
      <w:r>
        <w:t>Empatiyle Öğren Programı, çocukların engellilik konusunu doğru bilgi, deneyim ve etkileşim yoluyla tanımalarını desteklemek amacıyla Özürlüler Vakfı tarafından yürütülen bir eğitim programıdır. Programın temelleri, 2011–2015 yılları arasında gerçekleştirilen İlköğretim Bilgilendirme Toplantıları kapsamında atılmış; bu dönemde geliştirilen eğitim modeli, hikâye kitapları ve uygulama yöntemleri sonraki yıllarda programın temelini oluşturmuştur.</w:t>
      </w:r>
    </w:p>
    <w:p w14:paraId="60D6108C" w14:textId="77777777" w:rsidR="00F8750B" w:rsidRDefault="00F8750B" w:rsidP="00F8750B">
      <w:pPr>
        <w:pStyle w:val="isselectedend"/>
      </w:pPr>
      <w:r>
        <w:t>Bu rapor, programın ikinci uygulama dönemini oluşturan 2016–2026 yılları arasındaki gelişimini, eğitim faaliyetlerini, kurumsal iş birliklerini, kullanılan yöntemleri ve elde edilen sonuçları değerlendirmek amacıyla hazırlanmıştır.</w:t>
      </w:r>
    </w:p>
    <w:p w14:paraId="0F45A873" w14:textId="77777777" w:rsidR="00F8750B" w:rsidRDefault="00F8750B" w:rsidP="00F8750B">
      <w:pPr>
        <w:pStyle w:val="isselectedend"/>
      </w:pPr>
      <w:r>
        <w:t>2016–2026 döneminde program; okullar, kültür kurumları, özel sektör kuruluşları ve yerel paydaşlarla gerçekleştirilen iş birlikleri aracılığıyla faaliyetlerini sürdürmüştür. Eğitimlerde yaratıcı drama, rol oynama, hikâye temelli öğrenme, grup çalışmaları ve etkileşimli uygulamalar kullanılmış; çocukların farklılıkları tanımaları, kapsayıcı iletişim becerileri geliştirmeleri ve birlikte yaşam kültürünü güçlendirmeleri amaçlanmıştır.</w:t>
      </w:r>
    </w:p>
    <w:p w14:paraId="7E5BF23B" w14:textId="77777777" w:rsidR="00F8750B" w:rsidRDefault="00F8750B" w:rsidP="00F8750B">
      <w:pPr>
        <w:pStyle w:val="isselectedend"/>
      </w:pPr>
      <w:r>
        <w:t>COVID-19 salgını nedeniyle 2020–2023 yılları arasında faaliyetlere ara verilmiş, bu süreçte eğitim içerikleri gözden geçirilmiş ve gelecekteki uygulamalara yönelik hazırlık çalışmaları yürütülmüştür. Mart 2023 itibarıyla program yeniden başlamış; özel sektör kuruluşları, kültür kurumları ve farklı şehirlerde gerçekleştirilen çalışmalarla uygulama alanı genişlemiştir.</w:t>
      </w:r>
    </w:p>
    <w:p w14:paraId="2868B2F4" w14:textId="77777777" w:rsidR="00F8750B" w:rsidRDefault="00F8750B" w:rsidP="00F8750B">
      <w:pPr>
        <w:pStyle w:val="isselectedend"/>
      </w:pPr>
      <w:r>
        <w:t>2016–2026 döneminde yaklaşık 6.300 çocuğa ulaşılmış; programın başlangıcından Mayıs 2026'ya kadar geçen süreçte ulaşılan toplam çocuk sayısı yaklaşık 13.500 olmuştur. İstanbul'un yanı sıra Ankara, İzmir, Bursa, Adana, Gaziantep, Amasya, Çankırı, Tokat, Samsun, Şanlıurfa, Adıyaman ve Diyarbakır'da gerçekleştirilen çalışmalarla programın coğrafi erişimi önemli ölçüde artmıştır.</w:t>
      </w:r>
    </w:p>
    <w:p w14:paraId="53A5F54F" w14:textId="77777777" w:rsidR="00F8750B" w:rsidRDefault="00F8750B" w:rsidP="00F8750B">
      <w:pPr>
        <w:pStyle w:val="isselectedend"/>
      </w:pPr>
      <w:r>
        <w:t>Elde edilen uygulama deneyimleri, hikâye temelli eğitim materyallerinin, etkileşimli öğrenme yöntemlerinin ve katılımcı uygulamaların çocukların engellilik konusunu daha doğru değerlendirmelerine, farklılıklara saygı geliştirmelerine ve kapsayıcı iletişim becerilerini güçlendirmelerine katkı sağladığını göstermektedir.</w:t>
      </w:r>
    </w:p>
    <w:p w14:paraId="4EEFB868" w14:textId="16D5B591" w:rsidR="002B20A0" w:rsidRPr="00092113" w:rsidRDefault="00F8750B" w:rsidP="00092113">
      <w:pPr>
        <w:pStyle w:val="NormalWeb"/>
      </w:pPr>
      <w:r>
        <w:t>Empatiyle Öğren Programı, kapsayıcılık, eşitlik, katılım ve farklılıklara saygı ilkeleri doğrultusunda gelişimini sürdürmekte; gelecekte daha fazla çocuğa ulaşmayı ve eğitim içeriklerini güçlendirmeyi hedeflemektedir.</w:t>
      </w:r>
    </w:p>
    <w:p w14:paraId="00C79866" w14:textId="77777777" w:rsidR="001B374F" w:rsidRPr="005E5824" w:rsidRDefault="001B374F" w:rsidP="001B374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t>1. RAPORUN AMACI VE KAPSAMI</w:t>
      </w:r>
    </w:p>
    <w:p w14:paraId="042E3EBA" w14:textId="77777777" w:rsidR="001B374F" w:rsidRPr="00C372DB"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C372DB">
        <w:rPr>
          <w:rFonts w:ascii="Source Sans Pro" w:eastAsia="Times New Roman" w:hAnsi="Source Sans Pro" w:cs="Times New Roman"/>
          <w:kern w:val="0"/>
          <w:lang w:eastAsia="tr-TR"/>
          <w14:ligatures w14:val="none"/>
        </w:rPr>
        <w:t>Bu rapor, Özürlüler Vakfı tarafından yürütülen Empatiyle Öğren Programı'nın 2016–2026 yılları arasındaki gelişimini, uygulama süreçlerini, eğitim faaliyetlerini, kurumsal iş birliklerini ve toplumsal etkilerini değerlendirmek amacıyla hazırlanmıştır.</w:t>
      </w:r>
    </w:p>
    <w:p w14:paraId="7D29057D" w14:textId="77777777" w:rsidR="001B374F" w:rsidRPr="00C372DB"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C372DB">
        <w:rPr>
          <w:rFonts w:ascii="Source Sans Pro" w:eastAsia="Times New Roman" w:hAnsi="Source Sans Pro" w:cs="Times New Roman"/>
          <w:kern w:val="0"/>
          <w:lang w:eastAsia="tr-TR"/>
          <w14:ligatures w14:val="none"/>
        </w:rPr>
        <w:t>Empatiyle Öğren Programı'nın temelleri, 2011–2015 yılları arasında gerçekleştirilen İlköğretim Bilgilendirme Toplantıları kapsamında atılmıştır. Bu dönemde geliştirilen eğitim modeli, hikâye kitapları, etkileşimli öğrenme yöntemleri ve saha deneyimi programın temel yaklaşımını oluşturmuştur. Elde edilen deneyimler doğrultusunda program, 2016 yılından itibaren daha geniş bir uygulama alanına taşınmış ve gelişimini sürdürmüştür.</w:t>
      </w:r>
    </w:p>
    <w:p w14:paraId="29C48049" w14:textId="77777777" w:rsidR="001B374F" w:rsidRPr="00C372DB"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C372DB">
        <w:rPr>
          <w:rFonts w:ascii="Source Sans Pro" w:eastAsia="Times New Roman" w:hAnsi="Source Sans Pro" w:cs="Times New Roman"/>
          <w:kern w:val="0"/>
          <w:lang w:eastAsia="tr-TR"/>
          <w14:ligatures w14:val="none"/>
        </w:rPr>
        <w:lastRenderedPageBreak/>
        <w:t>2016–2026 döneminde program; okul uygulamalarının yanı sıra kültür kurumları, özel sektör iş birlikleri ve farklı şehirlerde gerçekleştirilen eğitim çalışmalarıyla daha geniş kitlelere ulaşmıştır. Bu süreçte eğitim içerikleri geliştirilmiş, yeni materyaller hazırlanmış ve farklı uygulama ortamlarına uyarlanabilecek çalışmalar yürütülmüştür.</w:t>
      </w:r>
    </w:p>
    <w:p w14:paraId="727A2C16" w14:textId="77777777" w:rsidR="001B374F" w:rsidRPr="00C372DB"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C372DB">
        <w:rPr>
          <w:rFonts w:ascii="Source Sans Pro" w:eastAsia="Times New Roman" w:hAnsi="Source Sans Pro" w:cs="Times New Roman"/>
          <w:kern w:val="0"/>
          <w:lang w:eastAsia="tr-TR"/>
          <w14:ligatures w14:val="none"/>
        </w:rPr>
        <w:t>Program, 2011 yılından Mayıs 2026'ya kadar geçen süreçte toplam yaklaşık 13.500 çocuğa ulaşmıştır. Bu toplamın yaklaşık 7.200'ü programın ilk uygulama döneminde, yaklaşık 6.300'ü ise 2016–2026 yılları arasında gerçekleştirilen çalışmalar kapsamında elde edilmiştir.</w:t>
      </w:r>
    </w:p>
    <w:p w14:paraId="53FA3157" w14:textId="77777777" w:rsidR="001B374F" w:rsidRPr="00C372DB"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C372DB">
        <w:rPr>
          <w:rFonts w:ascii="Source Sans Pro" w:eastAsia="Times New Roman" w:hAnsi="Source Sans Pro" w:cs="Times New Roman"/>
          <w:kern w:val="0"/>
          <w:lang w:eastAsia="tr-TR"/>
          <w14:ligatures w14:val="none"/>
        </w:rPr>
        <w:t>Bu rapor; programın ikinci uygulama döneminde yürütülen faaliyetleri, ulaşılan çocukları ve paydaşları, kullanılan eğitim yöntemlerini, geliştirilen materyalleri, kurumsal iş birliklerini ve elde edilen sonuçları bütüncül bir çerçevede ortaya koymayı amaçlamaktadır.</w:t>
      </w:r>
    </w:p>
    <w:p w14:paraId="7CB2EA90" w14:textId="141845FE" w:rsidR="001B374F" w:rsidRPr="005E5824" w:rsidRDefault="001B374F" w:rsidP="001B374F">
      <w:pPr>
        <w:spacing w:before="100" w:beforeAutospacing="1" w:after="100" w:afterAutospacing="1" w:line="240" w:lineRule="auto"/>
        <w:outlineLvl w:val="0"/>
        <w:rPr>
          <w:rFonts w:ascii="Source Sans Pro" w:hAnsi="Source Sans Pro"/>
          <w:b/>
          <w:bCs/>
        </w:rPr>
      </w:pPr>
      <w:r w:rsidRPr="005E5824">
        <w:rPr>
          <w:rFonts w:ascii="Source Sans Pro" w:eastAsia="Times New Roman" w:hAnsi="Source Sans Pro" w:cs="Times New Roman"/>
          <w:b/>
          <w:bCs/>
          <w:kern w:val="36"/>
          <w:lang w:eastAsia="tr-TR"/>
          <w14:ligatures w14:val="none"/>
        </w:rPr>
        <w:t>2</w:t>
      </w:r>
      <w:r w:rsidR="00C372DB" w:rsidRPr="005E5824">
        <w:rPr>
          <w:rFonts w:ascii="Source Sans Pro" w:eastAsia="Times New Roman" w:hAnsi="Source Sans Pro" w:cs="Times New Roman"/>
          <w:b/>
          <w:bCs/>
          <w:kern w:val="36"/>
          <w:lang w:eastAsia="tr-TR"/>
          <w14:ligatures w14:val="none"/>
        </w:rPr>
        <w:t>.</w:t>
      </w:r>
      <w:r w:rsidR="00C37141">
        <w:rPr>
          <w:rFonts w:ascii="Source Sans Pro" w:eastAsia="Times New Roman" w:hAnsi="Source Sans Pro" w:cs="Times New Roman"/>
          <w:b/>
          <w:bCs/>
          <w:kern w:val="36"/>
          <w:lang w:eastAsia="tr-TR"/>
          <w14:ligatures w14:val="none"/>
        </w:rPr>
        <w:t xml:space="preserve"> </w:t>
      </w:r>
      <w:r w:rsidR="00C372DB" w:rsidRPr="005E5824">
        <w:rPr>
          <w:rFonts w:ascii="Source Sans Pro" w:hAnsi="Source Sans Pro"/>
          <w:b/>
          <w:bCs/>
        </w:rPr>
        <w:t>PROGRAMIN GELİŞİMİ VE İKİNCİ DÖNEME GEÇİŞ</w:t>
      </w:r>
    </w:p>
    <w:p w14:paraId="23C9B457" w14:textId="77777777" w:rsidR="006A693B" w:rsidRPr="005E5824" w:rsidRDefault="006A693B" w:rsidP="006A693B">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2.1. İlk Dönemden İkinci Döneme Geçiş</w:t>
      </w:r>
    </w:p>
    <w:p w14:paraId="0C1835D7"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Programı'nın temelleri, 2011–2015 yılları arasında yürütülen İlköğretim Bilgilendirme Toplantıları kapsamında atılmıştır. Bu dönemde geliştirilen eğitim modeli, hikâye kitapları, etkileşimli öğrenme yöntemleri ve saha deneyimi programın temel yaklaşımını oluşturmuştur.</w:t>
      </w:r>
    </w:p>
    <w:p w14:paraId="17D6307B"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İlk uygulama döneminde elde edilen deneyimler, çocukların engellilik konusunu deneyimsel öğrenme yöntemleriyle daha etkili şekilde değerlendirebildiğini ortaya koymuştur. Okullardan, öğretmenlerden ve ailelerden alınan geri bildirimler doğrultusunda çalışmaların daha geniş bir ölçekte sürdürülmesine karar verilmiştir.</w:t>
      </w:r>
    </w:p>
    <w:p w14:paraId="0F0E9B14"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kapsamda program, 2016 yılı itibarıyla Empatiyle Öğren Programı adı altında geliştirilmeye devam edilmiş; eğitim içerikleri güncellenmiş, uygulama alanları genişletilmiş ve farklı hedef gruplara yönelik yeni çalışmalar planlanmıştır.</w:t>
      </w:r>
    </w:p>
    <w:p w14:paraId="3E60112D" w14:textId="77777777" w:rsidR="006A693B" w:rsidRPr="005E5824" w:rsidRDefault="006A693B" w:rsidP="006A693B">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2.2. Değişen Toplumsal Koşullar ve Süregelen İhtiyaçlar</w:t>
      </w:r>
    </w:p>
    <w:p w14:paraId="067FCD0F"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2016–2026 yılları arasında engelli hakları, erişilebilirlik ve kapsayıcı eğitim alanlarında çeşitli gelişmeler yaşanmış olmasına rağmen, engelli bireylerin toplumsal yaşama eşit katılımı konusunda önemli ihtiyaçlar varlığını sürdürmüştür.</w:t>
      </w:r>
    </w:p>
    <w:p w14:paraId="6FEA6687"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Özellikle çocukların engellilik konusunda doğru bilgiye erişimi, akran ilişkilerinde kapsayıcı davranışların geliştirilmesi, farklılıklara saygı kültürünün güçlendirilmesi ve erişilebilirlik konusunda farkındalık oluşturulması önemini korumuştur.</w:t>
      </w:r>
    </w:p>
    <w:p w14:paraId="0E6C3E16" w14:textId="77777777" w:rsidR="006A693B"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Aynı dönemde okullarda yürütülen kaynaştırma uygulamalarının yaygınlaşması, engelli ve engelli olmayan çocukların aynı eğitim ortamlarında daha fazla bir araya gelmesini sağlamıştır. Bu gelişme, kapsayıcı iletişim, akran ilişkileri ve birlikte yaşam kültürünü destekleyen eğitim çalışmalarına olan ihtiyacı daha görünür hale getirmiştir.</w:t>
      </w:r>
    </w:p>
    <w:p w14:paraId="18015F61" w14:textId="1C3EDF29" w:rsidR="001B374F" w:rsidRPr="005E5824" w:rsidRDefault="006A693B" w:rsidP="006A693B">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Empatiyle Öğren Programı da bu ihtiyaçlara yanıt vermek amacıyla çocukların engellilik konusunu yalnızca teorik bilgi düzeyinde değil; günlük yaşam deneyimleri, etkileşim ve katılım yoluyla değerlendirebilmelerini destekleyen bir eğitim modeli olarak uygulanmaya devam etmiştir.</w:t>
      </w:r>
    </w:p>
    <w:p w14:paraId="07B4D97E" w14:textId="77777777" w:rsidR="001B374F" w:rsidRPr="005E5824" w:rsidRDefault="001B374F" w:rsidP="001B374F">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2.3. Programın Genişleme Süreci (2016–2020)</w:t>
      </w:r>
    </w:p>
    <w:p w14:paraId="400874AA"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2016–2020 yılları arasında program, İstanbul başta olmak üzere farklı şehirlerde gerçekleştirilen eğitim çalışmalarıyla gelişimini sürdürmüştür. Bu dönemde okul uygulamalarına devam edilmiş, eğitim materyalleri geliştirilmiş ve programın erişim kapasitesi artırılmıştır.</w:t>
      </w:r>
    </w:p>
    <w:p w14:paraId="1F7078F3"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Erişilebilirlik, kapsayıcı iletişim, akran ilişkileri, farklılıklara saygı ve toplumsal katılım gibi konular eğitim içeriklerinde daha kapsamlı şekilde ele alınmış; hikâye kitapları ve uygulama materyalleri eğitim süreçlerini destekleyecek şekilde kullanılmaya devam edilmiştir.</w:t>
      </w:r>
    </w:p>
    <w:p w14:paraId="38DCB7ED" w14:textId="77777777" w:rsidR="001B374F" w:rsidRPr="005E5824" w:rsidRDefault="001B374F" w:rsidP="001B374F">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2.4. Pandemi Dönemi ve Faaliyetlere Ara Verilmesi (2020–2023)</w:t>
      </w:r>
    </w:p>
    <w:p w14:paraId="0688DB0A"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Mart 2020 tarihinde başlayan COVID-19 salgını nedeniyle yüz yüze eğitim faaliyetleri önemli ölçüde durmuş ve program kapsamında yürütülen saha çalışmaları Şubat 2023'e kadar büyük ölçüde kesintiye uğramıştır.</w:t>
      </w:r>
    </w:p>
    <w:p w14:paraId="4B47BD3D"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süreçte mevcut eğitim içerikleri gözden geçirilmiş, materyaller güncellenmiş ve gelecekte yürütülecek çalışmaların planlanmasına odaklanılmıştır. Ayrıca eğitim içeriklerinin dijital ortamlarda kullanılabilmesine yönelik hazırlık çalışmaları yürütülmüştür.</w:t>
      </w:r>
    </w:p>
    <w:p w14:paraId="1A33A641" w14:textId="77777777" w:rsidR="001B374F" w:rsidRPr="005E5824" w:rsidRDefault="001B374F" w:rsidP="001B374F">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2.5. Yeniden Başlangıç ve Yeni İş Birlikleri (2023–2026)</w:t>
      </w:r>
    </w:p>
    <w:p w14:paraId="4A7DBDF7"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faaliyetleri Mart 2023 itibarıyla yeniden başlatılmıştır. Bu dönemde okul uygulamalarının yanı sıra kültür kurumları, özel sektör kuruluşları ve yerel paydaşlarla geliştirilen iş birlikleri programın uygulama alanını genişletmiştir.</w:t>
      </w:r>
    </w:p>
    <w:p w14:paraId="54ED88F7"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xml:space="preserve">Pfizer, Abdi İbrahim, Roche, Novartis, Sanofi, Deva Holding, Eczacıbaşı Topluluğu, </w:t>
      </w:r>
      <w:proofErr w:type="spellStart"/>
      <w:r w:rsidRPr="005E5824">
        <w:rPr>
          <w:rFonts w:ascii="Source Sans Pro" w:eastAsia="Times New Roman" w:hAnsi="Source Sans Pro" w:cs="Times New Roman"/>
          <w:kern w:val="0"/>
          <w:lang w:eastAsia="tr-TR"/>
          <w14:ligatures w14:val="none"/>
        </w:rPr>
        <w:t>VitrA</w:t>
      </w:r>
      <w:proofErr w:type="spellEnd"/>
      <w:r w:rsidRPr="005E5824">
        <w:rPr>
          <w:rFonts w:ascii="Source Sans Pro" w:eastAsia="Times New Roman" w:hAnsi="Source Sans Pro" w:cs="Times New Roman"/>
          <w:kern w:val="0"/>
          <w:lang w:eastAsia="tr-TR"/>
          <w14:ligatures w14:val="none"/>
        </w:rPr>
        <w:t xml:space="preserve">, </w:t>
      </w:r>
      <w:proofErr w:type="spellStart"/>
      <w:r w:rsidRPr="005E5824">
        <w:rPr>
          <w:rFonts w:ascii="Source Sans Pro" w:eastAsia="Times New Roman" w:hAnsi="Source Sans Pro" w:cs="Times New Roman"/>
          <w:kern w:val="0"/>
          <w:lang w:eastAsia="tr-TR"/>
          <w14:ligatures w14:val="none"/>
        </w:rPr>
        <w:t>Intema</w:t>
      </w:r>
      <w:proofErr w:type="spellEnd"/>
      <w:r w:rsidRPr="005E5824">
        <w:rPr>
          <w:rFonts w:ascii="Source Sans Pro" w:eastAsia="Times New Roman" w:hAnsi="Source Sans Pro" w:cs="Times New Roman"/>
          <w:kern w:val="0"/>
          <w:lang w:eastAsia="tr-TR"/>
          <w14:ligatures w14:val="none"/>
        </w:rPr>
        <w:t>, IBM ve Ekol Lojistik gibi kurumların katkılarıyla çalışan çocuklarına yönelik eğitim etkinlikleri gerçekleştirilmiştir. Ayrıca İstanbul Modern ve Pera Müzesi'nde düzenlenen etkinliklerle çocuklara yönelik farkındalık çalışmaları sürdürülmüştür.</w:t>
      </w:r>
    </w:p>
    <w:p w14:paraId="37AC5C93"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kapsamında İstanbul'un yanı sıra Ankara, İzmir, Bursa, Adana, Gaziantep, Amasya, Çankırı, Tokat, Samsun, Şanlıurfa, Adıyaman ve Diyarbakır'da eğitim faaliyetleri gerçekleştirilmiş; böylece programın coğrafi erişimi önemli ölçüde genişlemiştir.</w:t>
      </w:r>
    </w:p>
    <w:p w14:paraId="6A683C01" w14:textId="77777777" w:rsidR="001B374F" w:rsidRPr="005E5824" w:rsidRDefault="001B374F" w:rsidP="001B374F">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2016–2026 döneminde yürütülen çalışmalar sonucunda program yaklaşık 6.300 çocuğa ulaşmış; 2011 yılından Mayıs 2026'ya kadar geçen toplam süreçte ulaşılan çocuk sayısı yaklaşık 13.500'e ulaşmıştır.</w:t>
      </w:r>
    </w:p>
    <w:p w14:paraId="1FDD710C" w14:textId="77777777" w:rsidR="00535E7D" w:rsidRPr="005E5824" w:rsidRDefault="00535E7D" w:rsidP="00535E7D">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lastRenderedPageBreak/>
        <w:t>3. PROGRAMIN YAPISI VE UYGULAMA YÖNTEMİ</w:t>
      </w:r>
    </w:p>
    <w:p w14:paraId="0D46A81D"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3.1. Eğitim Yaklaşımı</w:t>
      </w:r>
    </w:p>
    <w:p w14:paraId="6AAC105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 çocukların engellilik konusunu yalnızca teorik bilgi düzeyinde öğrenmelerini değil; deneyim, etkileşim ve katılım yoluyla anlamlandırmalarını amaçlayan bir eğitim modeline sahiptir. Programın temel yaklaşımı, farklılıkların insan yaşamının doğal bir parçası olduğu anlayışına dayanmaktadır.</w:t>
      </w:r>
    </w:p>
    <w:p w14:paraId="65FBAF19"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Eğitimlerde çocukların aktif katılımını esas alan yöntemler kullanılmakta; soru sormaları, düşüncelerini paylaşmaları, birlikte üretmeleri ve farklı bakış açılarını değerlendirmeleri teşvik edilmektedir. Program kapsamında çocukların yalnızca bilgi edinmeleri değil, aynı zamanda günlük yaşamda karşılaştıkları durumları değerlendirebilmeleri ve kapsayıcı bir bakış açısı geliştirmeleri hedeflenmektedir.</w:t>
      </w:r>
    </w:p>
    <w:p w14:paraId="1C1268F3" w14:textId="77777777" w:rsidR="004A3343" w:rsidRPr="004A3343" w:rsidRDefault="004A3343" w:rsidP="004A3343">
      <w:pPr>
        <w:pStyle w:val="isselectedend"/>
        <w:rPr>
          <w:b/>
          <w:bCs/>
        </w:rPr>
      </w:pPr>
      <w:r w:rsidRPr="004A3343">
        <w:rPr>
          <w:b/>
          <w:bCs/>
        </w:rPr>
        <w:t>3.2. Eğitim İçeriği ve Uygulama Süreci</w:t>
      </w:r>
    </w:p>
    <w:p w14:paraId="0950E994" w14:textId="77777777" w:rsidR="004A3343" w:rsidRDefault="004A3343" w:rsidP="004A3343">
      <w:pPr>
        <w:pStyle w:val="isselectedend"/>
      </w:pPr>
      <w:r>
        <w:t>Program uygulamaları, çocukların yaş ve gelişim özellikleri dikkate alınarak planlanan etkileşimli eğitim oturumlarından oluşmaktadır. Eğitimler, 40'ar dakikalık iki oturum (toplam yaklaşık 80 dakika) halinde uygulanmakta ve çocukların aktif katılımını destekleyen çeşitli yöntemleri içermektedir.</w:t>
      </w:r>
    </w:p>
    <w:p w14:paraId="001D8832" w14:textId="77777777" w:rsidR="004A3343" w:rsidRDefault="004A3343" w:rsidP="004A3343">
      <w:pPr>
        <w:pStyle w:val="isselectedend"/>
      </w:pPr>
      <w:r>
        <w:t>Uygulamalar kapsamında;</w:t>
      </w:r>
      <w:r>
        <w:br/>
        <w:t>• Yaratıcı drama çalışmaları,</w:t>
      </w:r>
      <w:r>
        <w:br/>
        <w:t>• Rol oynama etkinlikleri,</w:t>
      </w:r>
      <w:r>
        <w:br/>
        <w:t>• Hikâye kitapları üzerinden yürütülen tartışmalar,</w:t>
      </w:r>
      <w:r>
        <w:br/>
        <w:t>• İşaret dili farkındalık çalışmaları,</w:t>
      </w:r>
      <w:r>
        <w:br/>
        <w:t>• Grup etkinlikleri ve ortak görevler,</w:t>
      </w:r>
      <w:r>
        <w:br/>
        <w:t>• Erişilebilirlik ve günlük yaşam deneyimlerine ilişkin uygulamalar</w:t>
      </w:r>
      <w:r>
        <w:br/>
        <w:t>yer almaktadır.</w:t>
      </w:r>
    </w:p>
    <w:p w14:paraId="07FE86D6" w14:textId="77777777" w:rsidR="004A3343" w:rsidRDefault="004A3343" w:rsidP="004A3343">
      <w:pPr>
        <w:pStyle w:val="NormalWeb"/>
      </w:pPr>
      <w:r>
        <w:t>Programda kullanılan eğitim içerikleri, çocukların engellilik konusunu günlük yaşam örnekleri üzerinden değerlendirmelerine ve farklı engel gruplarına ilişkin farkındalık geliştirmelerine destek olmaktadır.</w:t>
      </w:r>
    </w:p>
    <w:p w14:paraId="0F649778"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3.3. Eğitim Materyalleri</w:t>
      </w:r>
    </w:p>
    <w:p w14:paraId="21138DE5"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kapsamında kullanılan hikâye kitapları ve yardımcı eğitim materyalleri, öğrenme sürecini destekleyen temel araçlar arasında yer almaktadır.</w:t>
      </w:r>
    </w:p>
    <w:p w14:paraId="6D47233C" w14:textId="77777777" w:rsidR="00A654DC" w:rsidRDefault="00A654DC" w:rsidP="00535E7D">
      <w:pPr>
        <w:spacing w:before="100" w:beforeAutospacing="1" w:after="100" w:afterAutospacing="1" w:line="240" w:lineRule="auto"/>
      </w:pPr>
      <w:r>
        <w:t>Yürümek Her Şey Değil, Yazıların Dili, Melek ve Boncuk ile En İyi Arkadaşım adlı hikâye kitaplarında; bağımsız yaşam, iletişim, arkadaşlık, erişilebilirlik, farklılıklara saygı, kapsayıcı oyun kültürü ve toplumsal katılım gibi temalar çocukların yaş ve gelişim özelliklerine uygun bir anlatımla ele alınmıştır.</w:t>
      </w:r>
    </w:p>
    <w:p w14:paraId="1090576F" w14:textId="09B12E3A"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Hikâye kitaplarına ek olarak işaret dili kartları, görsel eğitim materyalleri ve çeşitli uygulama araçları da eğitim süreçlerinde kullanılmaktadır.</w:t>
      </w:r>
    </w:p>
    <w:p w14:paraId="0C76F84C"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lastRenderedPageBreak/>
        <w:t>3.4. Uygulama İlkeleri ve Güvenli Katılım</w:t>
      </w:r>
    </w:p>
    <w:p w14:paraId="4B202D3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kapsamında gerçekleştirilen tüm faaliyetler çocukların fiziksel ve duygusal güvenliğini esas alan bir yaklaşımla yürütülmektedir.</w:t>
      </w:r>
    </w:p>
    <w:p w14:paraId="2C7353E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Uygulamalar öncesinde eğitim ortamlarının uygunluğu değerlendirilmekte, etkinliklerin yaş gruplarına uygunluğu gözden geçirilmekte ve gerekli güvenlik önlemleri alınmaktadır. Çocukların gönüllü katılımı esas alınmakta; tüm etkinlikler kapsayıcılık, saygı ve eşitlik ilkeleri doğrultusunda planlanmaktadır.</w:t>
      </w:r>
    </w:p>
    <w:p w14:paraId="5F666BE1"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Programı'nın temel ilkeleri; çocuk odaklı öğrenme, güvenli katılım, kapsayıcılık, eşitlik, karşılıklı saygı ve aktif katılımdır.</w:t>
      </w:r>
    </w:p>
    <w:p w14:paraId="4D2A1677" w14:textId="77777777" w:rsidR="00535E7D" w:rsidRPr="005E5824" w:rsidRDefault="00535E7D" w:rsidP="00535E7D">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t>4. ETKİ ANALİZİ VE BULGULAR</w:t>
      </w:r>
    </w:p>
    <w:p w14:paraId="62ACAFB1"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4.1. Ulaşılan Çocuklar ve Uygulama Sonuçları</w:t>
      </w:r>
    </w:p>
    <w:p w14:paraId="15DCF8B0"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 kapsamında 2016–2026 yılları arasında yürütülen eğitim faaliyetleri sonucunda yaklaşık 6.300 çocuğa ulaşılmıştır. Programın ilk uygulama dönemiyle birlikte değerlendirildiğinde, 2011 yılından Mayıs 2026'ya kadar ulaşılan toplam çocuk sayısı yaklaşık 13.500'e ulaşmıştır.</w:t>
      </w:r>
    </w:p>
    <w:p w14:paraId="593D342E"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İkinci dönemde gerçekleştirilen çalışmalar; okul uygulamaları, özel sektör iş birlikleri, kültür kurumlarında düzenlenen etkinlikler ve farklı şehirlerde yürütülen eğitim faaliyetleri aracılığıyla gerçekleştirilmiştir. Program kapsamında çocukların engellilik, erişilebilirlik, kapsayıcı iletişim ve toplumsal katılım konularında farkındalık geliştirmeleri amaçlanmıştır.</w:t>
      </w:r>
    </w:p>
    <w:p w14:paraId="1C07A40D"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4.2. Öğrenciler Üzerindeki Gözlemlenen Etkiler</w:t>
      </w:r>
    </w:p>
    <w:p w14:paraId="6C2D4A4E"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uygulamaları sırasında elde edilen gözlemler ve geri bildirimler, çocukların engellilik konusuna ilişkin bilgi düzeylerinde ve yaklaşımlarında olumlu gelişmeler yaşandığını göstermektedir.</w:t>
      </w:r>
    </w:p>
    <w:p w14:paraId="20888C65"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Uygulamalar sonucunda öğrencilerin;</w:t>
      </w:r>
    </w:p>
    <w:p w14:paraId="317ED47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Engellilik konusunda daha doğru ve kapsayıcı bir dil kullanmaya başladıkları,</w:t>
      </w:r>
    </w:p>
    <w:p w14:paraId="69AA720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Farklı engel gruplarına ilişkin bilgi ve farkındalıklarının arttığı,</w:t>
      </w:r>
    </w:p>
    <w:p w14:paraId="4AE6A18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Akran ilişkilerinde daha kapsayıcı davranışlar sergiledikleri,</w:t>
      </w:r>
    </w:p>
    <w:p w14:paraId="0CD0CB4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Erişilebilirlik ve toplumsal katılım konularına daha fazla ilgi göstermeye başladıkları,</w:t>
      </w:r>
    </w:p>
    <w:p w14:paraId="41145FCE"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Günlük yaşamda karşılaştıkları engelleri ve çözüm önerilerini daha fazla sorguladıkları</w:t>
      </w:r>
    </w:p>
    <w:p w14:paraId="45AC2DF7"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5E5824">
        <w:rPr>
          <w:rFonts w:ascii="Source Sans Pro" w:eastAsia="Times New Roman" w:hAnsi="Source Sans Pro" w:cs="Times New Roman"/>
          <w:kern w:val="0"/>
          <w:lang w:eastAsia="tr-TR"/>
          <w14:ligatures w14:val="none"/>
        </w:rPr>
        <w:t>gözlemlenmiştir</w:t>
      </w:r>
      <w:proofErr w:type="gramEnd"/>
      <w:r w:rsidRPr="005E5824">
        <w:rPr>
          <w:rFonts w:ascii="Source Sans Pro" w:eastAsia="Times New Roman" w:hAnsi="Source Sans Pro" w:cs="Times New Roman"/>
          <w:kern w:val="0"/>
          <w:lang w:eastAsia="tr-TR"/>
          <w14:ligatures w14:val="none"/>
        </w:rPr>
        <w:t>.</w:t>
      </w:r>
    </w:p>
    <w:p w14:paraId="796C252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Özellikle yaratıcı drama çalışmaları, hikâye temelli uygulamalar ve etkileşimli grup etkinliklerinin çocukların konuyu günlük yaşamla ilişkilendirmelerine katkı sağladığı değerlendirilmiştir.</w:t>
      </w:r>
    </w:p>
    <w:p w14:paraId="44DB6EB7"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4.3. Öğretmen ve Aile Geri Bildirimleri</w:t>
      </w:r>
    </w:p>
    <w:p w14:paraId="3133390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uygulamalarına ilişkin öğretmen ve aile geri bildirimleri, eğitimlerde ele alınan konuların sınıf ortamının ötesine taşınabildiğini göstermektedir.</w:t>
      </w:r>
    </w:p>
    <w:p w14:paraId="151F6D27"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Öğretmenler; öğrencilerin sınıf içi iletişimlerinde daha kapsayıcı bir dil kullanmaya başladıklarını, farklılıklara yönelik farkındalıklarının arttığını ve akran ilişkilerinde daha olumlu tutumlar sergilediklerini ifade etmiştir.</w:t>
      </w:r>
    </w:p>
    <w:p w14:paraId="71AB4011"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Aileler ise çocukların günlük yaşamda karşılaştıkları erişilebilirlik sorunlarına daha fazla dikkat etmeye başladıklarını, eğitimlerde öğrendikleri bilgileri ev ortamında paylaştıklarını ve farklılıklara ilişkin daha duyarlı davranışlar geliştirdiklerini belirtmiştir.</w:t>
      </w:r>
    </w:p>
    <w:p w14:paraId="51C5B047"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4.4. Bölgesel Yayılım ve Sosyal Etki</w:t>
      </w:r>
    </w:p>
    <w:p w14:paraId="28088769"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2016–2026 döneminde gerçekleştirilen çalışmalar; İstanbul, Ankara, İzmir, Bursa, Adana, Gaziantep, Amasya, Çankırı, Tokat, Samsun, Şanlıurfa, Adıyaman ve Diyarbakır'da uygulanmıştır.</w:t>
      </w:r>
    </w:p>
    <w:p w14:paraId="6A3F850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xml:space="preserve">Programın farklı şehirlerde ve farklı uygulama ortamlarında yürütülmesi, eğitim modelinin çeşitli </w:t>
      </w:r>
      <w:proofErr w:type="spellStart"/>
      <w:r w:rsidRPr="005E5824">
        <w:rPr>
          <w:rFonts w:ascii="Source Sans Pro" w:eastAsia="Times New Roman" w:hAnsi="Source Sans Pro" w:cs="Times New Roman"/>
          <w:kern w:val="0"/>
          <w:lang w:eastAsia="tr-TR"/>
          <w14:ligatures w14:val="none"/>
        </w:rPr>
        <w:t>sosyo</w:t>
      </w:r>
      <w:proofErr w:type="spellEnd"/>
      <w:r w:rsidRPr="005E5824">
        <w:rPr>
          <w:rFonts w:ascii="Source Sans Pro" w:eastAsia="Times New Roman" w:hAnsi="Source Sans Pro" w:cs="Times New Roman"/>
          <w:kern w:val="0"/>
          <w:lang w:eastAsia="tr-TR"/>
          <w14:ligatures w14:val="none"/>
        </w:rPr>
        <w:t>-ekonomik ve kültürel yapılara sahip bölgelerde uygulanabilir olduğunu göstermiştir. Okulların yanı sıra kültür kurumları ve özel sektör iş birlikleri aracılığıyla yürütülen çalışmalar, programın erişim alanının genişlemesine katkı sağlamıştır.</w:t>
      </w:r>
    </w:p>
    <w:p w14:paraId="21DF857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Yerel paydaşlarla geliştirilen iş birlikleri sayesinde çocuklara yönelik farkındalık çalışmaları farklı şehirlerde sürdürülebilmiş, programın toplumsal erişimi ve görünürlüğü güçlenmiştir.</w:t>
      </w:r>
    </w:p>
    <w:p w14:paraId="74E8B4EB" w14:textId="77777777" w:rsidR="00535E7D" w:rsidRPr="005E5824" w:rsidRDefault="00535E7D" w:rsidP="00535E7D">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t>5. BİLİMSEL TEMELLER VE EĞİTİMSEL DAYANAKLAR</w:t>
      </w:r>
    </w:p>
    <w:p w14:paraId="1E719761"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5.1. Eğitim Yaklaşımının Temelleri</w:t>
      </w:r>
    </w:p>
    <w:p w14:paraId="06C92F65"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 çocukların farklılıkları tanımalarını, birlikte yaşam becerilerini geliştirmelerini ve engellilik konusunda doğru bilgiye ulaşmalarını destekleyen eğitim yaklaşımlarından yararlanılarak geliştirilmiştir.</w:t>
      </w:r>
    </w:p>
    <w:p w14:paraId="6F2BF04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kapsamında kullanılan yöntemler; deneyimsel öğrenme, yaratıcı drama, rol oynama, hikâye temelli öğrenme, grup çalışmaları ve akran etkileşimini esas alan uygulamalardan oluşmaktadır. Bu yöntemler çocukların yalnızca bilgi edinmelerini değil, öğrendiklerini günlük yaşamla ilişkilendirmelerini de desteklemektedir.</w:t>
      </w:r>
    </w:p>
    <w:p w14:paraId="03ADFC03"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5.2. Çocuk Gelişimi ve Sosyal-Duygusal Öğrenme Boyutu</w:t>
      </w:r>
    </w:p>
    <w:p w14:paraId="44A9AA53"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Programın hedef kitlesini oluşturan 7–12 yaş grubu çocuklar; sosyal ilişkilerin, değerlerin ve toplumsal tutumların şekillendiği önemli bir gelişim dönemindedir.</w:t>
      </w:r>
    </w:p>
    <w:p w14:paraId="3BF80493"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nedenle eğitim içerikleri hazırlanırken;</w:t>
      </w:r>
    </w:p>
    <w:p w14:paraId="34D44DC0"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Yaşa uygun öğrenme yöntemleri,</w:t>
      </w:r>
    </w:p>
    <w:p w14:paraId="4FB78A21"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Sosyal-duygusal gelişim özellikleri,</w:t>
      </w:r>
    </w:p>
    <w:p w14:paraId="4F3AE37D"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Akran ilişkileri,</w:t>
      </w:r>
    </w:p>
    <w:p w14:paraId="21360189"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İş birliği ve birlikte yaşam becerileri,</w:t>
      </w:r>
    </w:p>
    <w:p w14:paraId="2FE5B76B"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Farklılıklara saygı ve kapsayıcı iletişim</w:t>
      </w:r>
    </w:p>
    <w:p w14:paraId="1ABA44C3"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5E5824">
        <w:rPr>
          <w:rFonts w:ascii="Source Sans Pro" w:eastAsia="Times New Roman" w:hAnsi="Source Sans Pro" w:cs="Times New Roman"/>
          <w:kern w:val="0"/>
          <w:lang w:eastAsia="tr-TR"/>
          <w14:ligatures w14:val="none"/>
        </w:rPr>
        <w:t>ilkeleri</w:t>
      </w:r>
      <w:proofErr w:type="gramEnd"/>
      <w:r w:rsidRPr="005E5824">
        <w:rPr>
          <w:rFonts w:ascii="Source Sans Pro" w:eastAsia="Times New Roman" w:hAnsi="Source Sans Pro" w:cs="Times New Roman"/>
          <w:kern w:val="0"/>
          <w:lang w:eastAsia="tr-TR"/>
          <w14:ligatures w14:val="none"/>
        </w:rPr>
        <w:t xml:space="preserve"> dikkate alınmıştır.</w:t>
      </w:r>
    </w:p>
    <w:p w14:paraId="76ECABDA"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 uygulamalarında çocukların aktif katılımı esas alınmakta; soru sormaları, düşüncelerini ifade etmeleri ve farklı bakış açılarını değerlendirmeleri teşvik edilmektedir.</w:t>
      </w:r>
    </w:p>
    <w:p w14:paraId="7089C12E"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5.3. Uluslararası Yaklaşımlarla İlişkisi</w:t>
      </w:r>
    </w:p>
    <w:p w14:paraId="6FC4ECA2"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Programın temel yaklaşımı, engelli bireylerin toplumsal yaşama eşit katılımını esas alan uluslararası insan hakları ve kapsayıcı eğitim anlayışıyla uyumludur.</w:t>
      </w:r>
    </w:p>
    <w:p w14:paraId="70B6E47B"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kapsamda;</w:t>
      </w:r>
    </w:p>
    <w:p w14:paraId="33683699"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Birleşmiş Milletler Engelli Hakları Sözleşmesi,</w:t>
      </w:r>
    </w:p>
    <w:p w14:paraId="4003656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UNESCO'nun kapsayıcı eğitim yaklaşımı,</w:t>
      </w:r>
    </w:p>
    <w:p w14:paraId="5D56B1E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UNICEF'in çocuk katılımı ve akran öğrenmesine ilişkin çalışmaları,</w:t>
      </w:r>
    </w:p>
    <w:p w14:paraId="61F3EAAB"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Sosyal-duygusal öğrenme alanındaki uluslararası iyi uygulamalar</w:t>
      </w:r>
    </w:p>
    <w:p w14:paraId="657E96B5"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5E5824">
        <w:rPr>
          <w:rFonts w:ascii="Source Sans Pro" w:eastAsia="Times New Roman" w:hAnsi="Source Sans Pro" w:cs="Times New Roman"/>
          <w:kern w:val="0"/>
          <w:lang w:eastAsia="tr-TR"/>
          <w14:ligatures w14:val="none"/>
        </w:rPr>
        <w:t>programın</w:t>
      </w:r>
      <w:proofErr w:type="gramEnd"/>
      <w:r w:rsidRPr="005E5824">
        <w:rPr>
          <w:rFonts w:ascii="Source Sans Pro" w:eastAsia="Times New Roman" w:hAnsi="Source Sans Pro" w:cs="Times New Roman"/>
          <w:kern w:val="0"/>
          <w:lang w:eastAsia="tr-TR"/>
          <w14:ligatures w14:val="none"/>
        </w:rPr>
        <w:t xml:space="preserve"> genel yaklaşımına yön veren başlıca referans alanları arasında yer almaktadır.</w:t>
      </w:r>
    </w:p>
    <w:p w14:paraId="44688FDF"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5.4. Uygulamalardan Elde Edilen Öğrenimler</w:t>
      </w:r>
    </w:p>
    <w:p w14:paraId="7A6429F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2016–2026 yılları arasında gerçekleştirilen uygulamalar, çocukların etkileşimli öğrenme yöntemlerine yüksek düzeyde katılım gösterdiğini ortaya koymuştur.</w:t>
      </w:r>
    </w:p>
    <w:p w14:paraId="6FABAFCA"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Öğretmenlerden, ailelerden ve uygulama ekiplerinden alınan geri bildirimler; hikâye temelli çalışmaların, yaratıcı drama uygulamalarının ve grup etkinliklerinin çocukların konuyu günlük yaşamla ilişkilendirmelerine katkı sağladığını göstermektedir.</w:t>
      </w:r>
    </w:p>
    <w:p w14:paraId="2883D35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Elde edilen deneyimler doğrultusunda program içerikleri düzenli olarak gözden geçirilmiş, materyaller geliştirilmiş ve uygulama süreçlerinde gerekli iyileştirmeler yapılmıştır.</w:t>
      </w:r>
    </w:p>
    <w:p w14:paraId="4F1EE576" w14:textId="77777777" w:rsidR="00535E7D" w:rsidRPr="005E5824" w:rsidRDefault="00535E7D" w:rsidP="00535E7D">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t>6. GELECEK PERSPEKTİFİ VE GELİŞİM ALANLARI</w:t>
      </w:r>
    </w:p>
    <w:p w14:paraId="6F55BB94"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Programı'nın 2016–2026 döneminde elde ettiği uygulama deneyimi, programın farklı şehirlerde, farklı eğitim ortamlarında ve farklı hedef gruplarla uygulanabilir bir yapıya sahip olduğunu göstermiştir. Elde edilen deneyimler doğrultusunda programın gelecekteki gelişim alanları belirlenmiş ve sürdürülebilirliğini destekleyecek öncelikler tanımlanmıştır.</w:t>
      </w:r>
    </w:p>
    <w:p w14:paraId="470A0331"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6.1. Yaygınlaşma ve Erişim</w:t>
      </w:r>
    </w:p>
    <w:p w14:paraId="66295454"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Programın önümüzdeki dönemde daha fazla çocuğa ulaşabilmesi amacıyla farklı şehirlerdeki eğitim kurumları, kültür kuruluşları, yerel paydaşlar ve özel sektör kuruluşlarıyla iş birliklerinin geliştirilmesi hedeflenmektedir.</w:t>
      </w:r>
    </w:p>
    <w:p w14:paraId="5A94F913"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Özellikle okul uygulamalarının yanı sıra müzeler, kültür merkezleri, çocuk etkinlikleri ve kurumsal sosyal sorumluluk projeleri kapsamında yürütülecek çalışmalarla programın erişim kapasitesinin artırılması planlanmaktadır. Uzun vadede programın daha fazla ilde uygulanması ve ulaşılan çocuk sayısının artırılması hedeflenmektedir.</w:t>
      </w:r>
    </w:p>
    <w:p w14:paraId="20243096"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6.2. Eğitim İçeriklerinin Geliştirilmesi</w:t>
      </w:r>
    </w:p>
    <w:p w14:paraId="2768A670"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Saha uygulamalarından elde edilen deneyimler doğrultusunda eğitim materyallerinin güncellenmesi ve içerik çeşitliliğinin artırılması önem taşımaktadır.</w:t>
      </w:r>
    </w:p>
    <w:p w14:paraId="74C5D626"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kapsamda;</w:t>
      </w:r>
    </w:p>
    <w:p w14:paraId="64B56A3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Hikâye kitaplarının geliştirilmesi,</w:t>
      </w:r>
    </w:p>
    <w:p w14:paraId="1EB97882"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Yeni etkinlik içeriklerinin hazırlanması,</w:t>
      </w:r>
    </w:p>
    <w:p w14:paraId="4C50DE9B"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İşaret dili ve alternatif iletişim materyallerinin zenginleştirilmesi,</w:t>
      </w:r>
    </w:p>
    <w:p w14:paraId="5578AFCE"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Öğretmen ve ailelere yönelik destekleyici kaynakların artırılması</w:t>
      </w:r>
    </w:p>
    <w:p w14:paraId="11FD6754"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5E5824">
        <w:rPr>
          <w:rFonts w:ascii="Source Sans Pro" w:eastAsia="Times New Roman" w:hAnsi="Source Sans Pro" w:cs="Times New Roman"/>
          <w:kern w:val="0"/>
          <w:lang w:eastAsia="tr-TR"/>
          <w14:ligatures w14:val="none"/>
        </w:rPr>
        <w:t>programın</w:t>
      </w:r>
      <w:proofErr w:type="gramEnd"/>
      <w:r w:rsidRPr="005E5824">
        <w:rPr>
          <w:rFonts w:ascii="Source Sans Pro" w:eastAsia="Times New Roman" w:hAnsi="Source Sans Pro" w:cs="Times New Roman"/>
          <w:kern w:val="0"/>
          <w:lang w:eastAsia="tr-TR"/>
          <w14:ligatures w14:val="none"/>
        </w:rPr>
        <w:t xml:space="preserve"> öncelikli gelişim alanları arasında yer almaktadır.</w:t>
      </w:r>
    </w:p>
    <w:p w14:paraId="4171ADCC"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6.3. Dijital İçeriklerin Güçlendirilmesi</w:t>
      </w:r>
    </w:p>
    <w:p w14:paraId="4125525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Pandemi döneminde yaşanan deneyimler, eğitim içeriklerinin dijital ortamlar aracılığıyla da erişilebilir olmasının önemini ortaya koymuştur.</w:t>
      </w:r>
    </w:p>
    <w:p w14:paraId="4FD578CD"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doğrultuda;</w:t>
      </w:r>
    </w:p>
    <w:p w14:paraId="4B88211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Dijital eğitim materyalleri,</w:t>
      </w:r>
    </w:p>
    <w:p w14:paraId="406A80A4"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 Kısa eğitim videoları,</w:t>
      </w:r>
    </w:p>
    <w:p w14:paraId="50D5F522"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Sesli içerikler,</w:t>
      </w:r>
    </w:p>
    <w:p w14:paraId="3B2A0639"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 Erişilebilir öğrenme araçları</w:t>
      </w:r>
    </w:p>
    <w:p w14:paraId="563D8F9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5E5824">
        <w:rPr>
          <w:rFonts w:ascii="Source Sans Pro" w:eastAsia="Times New Roman" w:hAnsi="Source Sans Pro" w:cs="Times New Roman"/>
          <w:kern w:val="0"/>
          <w:lang w:eastAsia="tr-TR"/>
          <w14:ligatures w14:val="none"/>
        </w:rPr>
        <w:t>gibi</w:t>
      </w:r>
      <w:proofErr w:type="gramEnd"/>
      <w:r w:rsidRPr="005E5824">
        <w:rPr>
          <w:rFonts w:ascii="Source Sans Pro" w:eastAsia="Times New Roman" w:hAnsi="Source Sans Pro" w:cs="Times New Roman"/>
          <w:kern w:val="0"/>
          <w:lang w:eastAsia="tr-TR"/>
          <w14:ligatures w14:val="none"/>
        </w:rPr>
        <w:t xml:space="preserve"> kaynakların geliştirilmesi programın gelecekteki çalışma alanlarından biri olarak değerlendirilmektedir.</w:t>
      </w:r>
    </w:p>
    <w:p w14:paraId="12BBBB94" w14:textId="77777777" w:rsidR="00535E7D" w:rsidRPr="005E5824" w:rsidRDefault="00535E7D" w:rsidP="00535E7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E5824">
        <w:rPr>
          <w:rFonts w:ascii="Source Sans Pro" w:eastAsia="Times New Roman" w:hAnsi="Source Sans Pro" w:cs="Times New Roman"/>
          <w:b/>
          <w:bCs/>
          <w:kern w:val="0"/>
          <w:lang w:eastAsia="tr-TR"/>
          <w14:ligatures w14:val="none"/>
        </w:rPr>
        <w:t>6.4. Katılım ve İş Birlikleri</w:t>
      </w:r>
    </w:p>
    <w:p w14:paraId="4717D70F"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Programın sürdürülebilirliği; gönüllüler, eğitimciler, aileler, kamu kurumları, yerel yönetimler, kültür kuruluşları ve özel sektör temsilcileriyle geliştirilecek iş birlikleriyle doğrudan ilişkilidir.</w:t>
      </w:r>
    </w:p>
    <w:p w14:paraId="78A2406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Bu nedenle farklı paydaşların bilgi, deneyim ve katkılarının programa dahil edilmesi; uygulamaların niteliğinin güçlendirilmesi ve programın daha geniş kitlelere ulaştırılması açısından önemli görülmektedir.</w:t>
      </w:r>
    </w:p>
    <w:p w14:paraId="038E779C"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Önümüzdeki dönemde mevcut iş birliklerinin sürdürülmesi ve yeni paydaşlarla ortak çalışmalar geliştirilmesi, programın yaygınlaşma kapasitesini destekleyecek temel unsurlar arasında değerlendirilmektedir.</w:t>
      </w:r>
    </w:p>
    <w:p w14:paraId="7FCF745C" w14:textId="77777777" w:rsidR="00535E7D" w:rsidRPr="005E5824" w:rsidRDefault="00535E7D" w:rsidP="00535E7D">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E5824">
        <w:rPr>
          <w:rFonts w:ascii="Source Sans Pro" w:eastAsia="Times New Roman" w:hAnsi="Source Sans Pro" w:cs="Times New Roman"/>
          <w:b/>
          <w:bCs/>
          <w:kern w:val="36"/>
          <w:lang w:eastAsia="tr-TR"/>
          <w14:ligatures w14:val="none"/>
        </w:rPr>
        <w:t>7. GENEL DEĞERLENDİRME VE SONUÇ</w:t>
      </w:r>
    </w:p>
    <w:p w14:paraId="54AFF484"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Empatiyle Öğren Programı, 2016–2026 yılları arasında yürütülen uygulamalarla çocukların engellilik konusunu doğru bilgi, deneyim ve etkileşim yoluyla tanımalarını destekleyen kapsamlı bir eğitim modeli olarak gelişimini sürdürmüştür.</w:t>
      </w:r>
    </w:p>
    <w:p w14:paraId="7D4458F8"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Okullarda, kültür kurumlarında ve farklı iş birlikleri kapsamında gerçekleştirilen çalışmalar sayesinde programın erişim alanı genişlemiş; farklı şehirlerde ve farklı uygulama ortamlarında çocuklara ulaşılmıştır. Eğitim süreçlerinde kullanılan hikâye kitapları, etkileşimli öğrenme yöntemleri ve katılımcı uygulamalar programın temel bileşenlerini oluşturmuştur.</w:t>
      </w:r>
    </w:p>
    <w:p w14:paraId="42162D50"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2011 yılından Mayıs 2026'ya kadar geçen süreçte yaklaşık 13.500 çocuğa ulaşan program, kapsayıcı iletişim, farklılıklara saygı, erişilebilirlik farkındalığı ve birlikte yaşam kültürünün desteklenmesine katkı sağlamıştır.</w:t>
      </w:r>
    </w:p>
    <w:p w14:paraId="67D51C6B" w14:textId="77777777" w:rsidR="00535E7D" w:rsidRPr="005E5824" w:rsidRDefault="00535E7D" w:rsidP="00535E7D">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t>Gelecek dönemde de programın temel yaklaşımını oluşturan kapsayıcılık, eşitlik, katılım ve farklılıklara saygı ilkeleri doğrultusunda yeni uygulamaların geliştirilmesi, iş birliklerinin güçlendirilmesi ve daha fazla çocuğa ulaşılması hedeflenmektedir.</w:t>
      </w:r>
    </w:p>
    <w:p w14:paraId="4CD676CD" w14:textId="77777777" w:rsidR="001B374F" w:rsidRPr="005E5824" w:rsidRDefault="001B374F" w:rsidP="007A69B6">
      <w:pPr>
        <w:spacing w:before="100" w:beforeAutospacing="1" w:after="100" w:afterAutospacing="1" w:line="240" w:lineRule="auto"/>
        <w:rPr>
          <w:rFonts w:ascii="Source Sans Pro" w:eastAsia="Times New Roman" w:hAnsi="Source Sans Pro" w:cs="Times New Roman"/>
          <w:kern w:val="0"/>
          <w:lang w:eastAsia="tr-TR"/>
          <w14:ligatures w14:val="none"/>
        </w:rPr>
      </w:pPr>
    </w:p>
    <w:p w14:paraId="4A0C301A" w14:textId="77777777" w:rsidR="007A69B6" w:rsidRPr="005E5824" w:rsidRDefault="007A69B6" w:rsidP="003A745D">
      <w:pPr>
        <w:spacing w:after="100" w:afterAutospacing="1" w:line="240" w:lineRule="auto"/>
        <w:rPr>
          <w:rFonts w:ascii="Source Sans Pro" w:eastAsia="Times New Roman" w:hAnsi="Source Sans Pro" w:cs="Arial"/>
          <w:kern w:val="0"/>
          <w:lang w:eastAsia="tr-TR"/>
          <w14:ligatures w14:val="none"/>
        </w:rPr>
      </w:pPr>
    </w:p>
    <w:p w14:paraId="0ED93BFC" w14:textId="69FEF8DB" w:rsidR="003F7103" w:rsidRPr="005E5824" w:rsidRDefault="003F7103" w:rsidP="003F710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E5824">
        <w:rPr>
          <w:rFonts w:ascii="Source Sans Pro" w:eastAsia="Times New Roman" w:hAnsi="Source Sans Pro" w:cs="Times New Roman"/>
          <w:kern w:val="0"/>
          <w:lang w:eastAsia="tr-TR"/>
          <w14:ligatures w14:val="none"/>
        </w:rPr>
        <w:lastRenderedPageBreak/>
        <w:t>.</w:t>
      </w:r>
    </w:p>
    <w:sectPr w:rsidR="003F7103" w:rsidRPr="005E58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5BF"/>
    <w:multiLevelType w:val="multilevel"/>
    <w:tmpl w:val="A5E6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11E7C"/>
    <w:multiLevelType w:val="multilevel"/>
    <w:tmpl w:val="5EAC5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50657"/>
    <w:multiLevelType w:val="multilevel"/>
    <w:tmpl w:val="B6EAC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6067E"/>
    <w:multiLevelType w:val="multilevel"/>
    <w:tmpl w:val="6420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21E3D"/>
    <w:multiLevelType w:val="multilevel"/>
    <w:tmpl w:val="7B52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9033C"/>
    <w:multiLevelType w:val="multilevel"/>
    <w:tmpl w:val="63B4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6395E"/>
    <w:multiLevelType w:val="multilevel"/>
    <w:tmpl w:val="03A0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522B99"/>
    <w:multiLevelType w:val="multilevel"/>
    <w:tmpl w:val="8D62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D028AD"/>
    <w:multiLevelType w:val="multilevel"/>
    <w:tmpl w:val="5B14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81F1A"/>
    <w:multiLevelType w:val="multilevel"/>
    <w:tmpl w:val="DEF4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16967"/>
    <w:multiLevelType w:val="multilevel"/>
    <w:tmpl w:val="D8409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407658"/>
    <w:multiLevelType w:val="multilevel"/>
    <w:tmpl w:val="E3FA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A18EB"/>
    <w:multiLevelType w:val="multilevel"/>
    <w:tmpl w:val="5194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411D8"/>
    <w:multiLevelType w:val="multilevel"/>
    <w:tmpl w:val="9FC0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23194"/>
    <w:multiLevelType w:val="multilevel"/>
    <w:tmpl w:val="57EA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2842BB"/>
    <w:multiLevelType w:val="multilevel"/>
    <w:tmpl w:val="8B02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F2C66"/>
    <w:multiLevelType w:val="multilevel"/>
    <w:tmpl w:val="1B76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2E2B61"/>
    <w:multiLevelType w:val="multilevel"/>
    <w:tmpl w:val="E17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A64477"/>
    <w:multiLevelType w:val="multilevel"/>
    <w:tmpl w:val="B07AB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990C54"/>
    <w:multiLevelType w:val="multilevel"/>
    <w:tmpl w:val="2AF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82FA3"/>
    <w:multiLevelType w:val="multilevel"/>
    <w:tmpl w:val="962A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4A6CB9"/>
    <w:multiLevelType w:val="multilevel"/>
    <w:tmpl w:val="A920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371835"/>
    <w:multiLevelType w:val="multilevel"/>
    <w:tmpl w:val="F6DE66A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1C6B1C"/>
    <w:multiLevelType w:val="multilevel"/>
    <w:tmpl w:val="98DC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FD55D7"/>
    <w:multiLevelType w:val="multilevel"/>
    <w:tmpl w:val="CFA2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E1AED"/>
    <w:multiLevelType w:val="multilevel"/>
    <w:tmpl w:val="3CE6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76AAA"/>
    <w:multiLevelType w:val="multilevel"/>
    <w:tmpl w:val="A250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475480"/>
    <w:multiLevelType w:val="multilevel"/>
    <w:tmpl w:val="09B25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8B1BE2"/>
    <w:multiLevelType w:val="multilevel"/>
    <w:tmpl w:val="D55A8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D3544B"/>
    <w:multiLevelType w:val="multilevel"/>
    <w:tmpl w:val="F92E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936167">
    <w:abstractNumId w:val="10"/>
  </w:num>
  <w:num w:numId="2" w16cid:durableId="494953968">
    <w:abstractNumId w:val="27"/>
  </w:num>
  <w:num w:numId="3" w16cid:durableId="2076704909">
    <w:abstractNumId w:val="24"/>
  </w:num>
  <w:num w:numId="4" w16cid:durableId="111171074">
    <w:abstractNumId w:val="21"/>
  </w:num>
  <w:num w:numId="5" w16cid:durableId="1425343719">
    <w:abstractNumId w:val="12"/>
  </w:num>
  <w:num w:numId="6" w16cid:durableId="1634821896">
    <w:abstractNumId w:val="14"/>
  </w:num>
  <w:num w:numId="7" w16cid:durableId="1298291849">
    <w:abstractNumId w:val="25"/>
  </w:num>
  <w:num w:numId="8" w16cid:durableId="1033193029">
    <w:abstractNumId w:val="9"/>
  </w:num>
  <w:num w:numId="9" w16cid:durableId="1430127844">
    <w:abstractNumId w:val="29"/>
  </w:num>
  <w:num w:numId="10" w16cid:durableId="1857426682">
    <w:abstractNumId w:val="16"/>
  </w:num>
  <w:num w:numId="11" w16cid:durableId="318579398">
    <w:abstractNumId w:val="3"/>
  </w:num>
  <w:num w:numId="12" w16cid:durableId="1972325821">
    <w:abstractNumId w:val="4"/>
  </w:num>
  <w:num w:numId="13" w16cid:durableId="262885239">
    <w:abstractNumId w:val="1"/>
  </w:num>
  <w:num w:numId="14" w16cid:durableId="742726956">
    <w:abstractNumId w:val="17"/>
  </w:num>
  <w:num w:numId="15" w16cid:durableId="972634928">
    <w:abstractNumId w:val="13"/>
  </w:num>
  <w:num w:numId="16" w16cid:durableId="734474936">
    <w:abstractNumId w:val="19"/>
  </w:num>
  <w:num w:numId="17" w16cid:durableId="220485258">
    <w:abstractNumId w:val="5"/>
  </w:num>
  <w:num w:numId="18" w16cid:durableId="1950625144">
    <w:abstractNumId w:val="6"/>
  </w:num>
  <w:num w:numId="19" w16cid:durableId="806049423">
    <w:abstractNumId w:val="0"/>
  </w:num>
  <w:num w:numId="20" w16cid:durableId="1524319524">
    <w:abstractNumId w:val="26"/>
  </w:num>
  <w:num w:numId="21" w16cid:durableId="358507041">
    <w:abstractNumId w:val="18"/>
  </w:num>
  <w:num w:numId="22" w16cid:durableId="1958441331">
    <w:abstractNumId w:val="20"/>
  </w:num>
  <w:num w:numId="23" w16cid:durableId="695079324">
    <w:abstractNumId w:val="11"/>
  </w:num>
  <w:num w:numId="24" w16cid:durableId="530340492">
    <w:abstractNumId w:val="7"/>
  </w:num>
  <w:num w:numId="25" w16cid:durableId="527523100">
    <w:abstractNumId w:val="23"/>
  </w:num>
  <w:num w:numId="26" w16cid:durableId="492533302">
    <w:abstractNumId w:val="15"/>
  </w:num>
  <w:num w:numId="27" w16cid:durableId="2090609989">
    <w:abstractNumId w:val="8"/>
  </w:num>
  <w:num w:numId="28" w16cid:durableId="1300964322">
    <w:abstractNumId w:val="2"/>
  </w:num>
  <w:num w:numId="29" w16cid:durableId="26875637">
    <w:abstractNumId w:val="28"/>
  </w:num>
  <w:num w:numId="30" w16cid:durableId="12698489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C4E"/>
    <w:rsid w:val="00001715"/>
    <w:rsid w:val="00073DDB"/>
    <w:rsid w:val="00075DFD"/>
    <w:rsid w:val="00092113"/>
    <w:rsid w:val="00094C01"/>
    <w:rsid w:val="001B374F"/>
    <w:rsid w:val="00242699"/>
    <w:rsid w:val="002B20A0"/>
    <w:rsid w:val="002F0F7D"/>
    <w:rsid w:val="00381F59"/>
    <w:rsid w:val="003A745D"/>
    <w:rsid w:val="003F7103"/>
    <w:rsid w:val="004A3343"/>
    <w:rsid w:val="00535E7D"/>
    <w:rsid w:val="0056058E"/>
    <w:rsid w:val="00573152"/>
    <w:rsid w:val="005E5824"/>
    <w:rsid w:val="006A693B"/>
    <w:rsid w:val="006E7714"/>
    <w:rsid w:val="00712286"/>
    <w:rsid w:val="007A69B6"/>
    <w:rsid w:val="00813761"/>
    <w:rsid w:val="00963771"/>
    <w:rsid w:val="00965310"/>
    <w:rsid w:val="009E225A"/>
    <w:rsid w:val="00A52C4E"/>
    <w:rsid w:val="00A654DC"/>
    <w:rsid w:val="00A9305C"/>
    <w:rsid w:val="00AB11EC"/>
    <w:rsid w:val="00B61DC8"/>
    <w:rsid w:val="00B76CA4"/>
    <w:rsid w:val="00BB7859"/>
    <w:rsid w:val="00C01901"/>
    <w:rsid w:val="00C37141"/>
    <w:rsid w:val="00C372DB"/>
    <w:rsid w:val="00D5656B"/>
    <w:rsid w:val="00D708E7"/>
    <w:rsid w:val="00E850E8"/>
    <w:rsid w:val="00F8750B"/>
    <w:rsid w:val="00FA3B98"/>
    <w:rsid w:val="00FD5DD2"/>
    <w:rsid w:val="00FF1B44"/>
    <w:rsid w:val="00FF30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467B"/>
  <w15:chartTrackingRefBased/>
  <w15:docId w15:val="{4E87876D-8710-45E9-86D1-576DFCAB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52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52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52C4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52C4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52C4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52C4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52C4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52C4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52C4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52C4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52C4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52C4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52C4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52C4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52C4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52C4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52C4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52C4E"/>
    <w:rPr>
      <w:rFonts w:eastAsiaTheme="majorEastAsia" w:cstheme="majorBidi"/>
      <w:color w:val="272727" w:themeColor="text1" w:themeTint="D8"/>
    </w:rPr>
  </w:style>
  <w:style w:type="paragraph" w:styleId="KonuBal">
    <w:name w:val="Title"/>
    <w:basedOn w:val="Normal"/>
    <w:next w:val="Normal"/>
    <w:link w:val="KonuBalChar"/>
    <w:uiPriority w:val="10"/>
    <w:qFormat/>
    <w:rsid w:val="00A52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52C4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52C4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52C4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52C4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52C4E"/>
    <w:rPr>
      <w:i/>
      <w:iCs/>
      <w:color w:val="404040" w:themeColor="text1" w:themeTint="BF"/>
    </w:rPr>
  </w:style>
  <w:style w:type="paragraph" w:styleId="ListeParagraf">
    <w:name w:val="List Paragraph"/>
    <w:basedOn w:val="Normal"/>
    <w:uiPriority w:val="34"/>
    <w:qFormat/>
    <w:rsid w:val="00A52C4E"/>
    <w:pPr>
      <w:ind w:left="720"/>
      <w:contextualSpacing/>
    </w:pPr>
  </w:style>
  <w:style w:type="character" w:styleId="GlVurgulama">
    <w:name w:val="Intense Emphasis"/>
    <w:basedOn w:val="VarsaylanParagrafYazTipi"/>
    <w:uiPriority w:val="21"/>
    <w:qFormat/>
    <w:rsid w:val="00A52C4E"/>
    <w:rPr>
      <w:i/>
      <w:iCs/>
      <w:color w:val="0F4761" w:themeColor="accent1" w:themeShade="BF"/>
    </w:rPr>
  </w:style>
  <w:style w:type="paragraph" w:styleId="GlAlnt">
    <w:name w:val="Intense Quote"/>
    <w:basedOn w:val="Normal"/>
    <w:next w:val="Normal"/>
    <w:link w:val="GlAlntChar"/>
    <w:uiPriority w:val="30"/>
    <w:qFormat/>
    <w:rsid w:val="00A52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52C4E"/>
    <w:rPr>
      <w:i/>
      <w:iCs/>
      <w:color w:val="0F4761" w:themeColor="accent1" w:themeShade="BF"/>
    </w:rPr>
  </w:style>
  <w:style w:type="character" w:styleId="GlBavuru">
    <w:name w:val="Intense Reference"/>
    <w:basedOn w:val="VarsaylanParagrafYazTipi"/>
    <w:uiPriority w:val="32"/>
    <w:qFormat/>
    <w:rsid w:val="00A52C4E"/>
    <w:rPr>
      <w:b/>
      <w:bCs/>
      <w:smallCaps/>
      <w:color w:val="0F4761" w:themeColor="accent1" w:themeShade="BF"/>
      <w:spacing w:val="5"/>
    </w:rPr>
  </w:style>
  <w:style w:type="paragraph" w:styleId="NormalWeb">
    <w:name w:val="Normal (Web)"/>
    <w:basedOn w:val="Normal"/>
    <w:uiPriority w:val="99"/>
    <w:unhideWhenUsed/>
    <w:rsid w:val="00075DF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535E7D"/>
    <w:rPr>
      <w:b/>
      <w:bCs/>
    </w:rPr>
  </w:style>
  <w:style w:type="paragraph" w:customStyle="1" w:styleId="isselectedend">
    <w:name w:val="isselectedend"/>
    <w:basedOn w:val="Normal"/>
    <w:rsid w:val="005E5824"/>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652</TotalTime>
  <Pages>11</Pages>
  <Words>3219</Words>
  <Characters>18353</Characters>
  <Application>Microsoft Office Word</Application>
  <DocSecurity>0</DocSecurity>
  <Lines>152</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31</cp:revision>
  <dcterms:created xsi:type="dcterms:W3CDTF">2026-06-06T11:28:00Z</dcterms:created>
  <dcterms:modified xsi:type="dcterms:W3CDTF">2026-06-07T17:12:00Z</dcterms:modified>
</cp:coreProperties>
</file>